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17EDE" w:rsidP="00A471C1" w14:paraId="72E5779A" w14:textId="77777777">
      <w:pPr>
        <w:pStyle w:val="Heading1"/>
        <w:spacing w:after="240"/>
        <w:jc w:val="center"/>
        <w:rPr>
          <w:rFonts w:eastAsia="Calibri"/>
        </w:rPr>
      </w:pPr>
      <w:r>
        <w:rPr>
          <w:rFonts w:eastAsia="Calibri"/>
        </w:rPr>
        <w:t>Comparative Theory Chart</w:t>
      </w:r>
    </w:p>
    <w:tbl>
      <w:tblPr>
        <w:tblStyle w:val="TableGrid"/>
        <w:tblCaption w:val="Effective Teacher traits"/>
        <w:tblW w:w="13860" w:type="dxa"/>
        <w:tblInd w:w="-635" w:type="dxa"/>
        <w:tblCellMar>
          <w:top w:w="72" w:type="dxa"/>
          <w:left w:w="72" w:type="dxa"/>
          <w:bottom w:w="72" w:type="dxa"/>
          <w:right w:w="72" w:type="dxa"/>
        </w:tblCellMar>
        <w:tblLook w:val="0620"/>
      </w:tblPr>
      <w:tblGrid>
        <w:gridCol w:w="1710"/>
        <w:gridCol w:w="4050"/>
        <w:gridCol w:w="4860"/>
        <w:gridCol w:w="3240"/>
      </w:tblGrid>
      <w:tr w14:paraId="16CC207C" w14:textId="77777777" w:rsidTr="000154F3">
        <w:tblPrEx>
          <w:tblW w:w="13860" w:type="dxa"/>
          <w:tblInd w:w="-635" w:type="dxa"/>
          <w:tblCellMar>
            <w:top w:w="72" w:type="dxa"/>
            <w:left w:w="72" w:type="dxa"/>
            <w:bottom w:w="72" w:type="dxa"/>
            <w:right w:w="72" w:type="dxa"/>
          </w:tblCellMar>
          <w:tblLook w:val="0620"/>
        </w:tblPrEx>
        <w:trPr>
          <w:tblHeader/>
        </w:trPr>
        <w:tc>
          <w:tcPr>
            <w:tcW w:w="1710" w:type="dxa"/>
            <w:shd w:val="clear" w:color="auto" w:fill="980927"/>
            <w:vAlign w:val="center"/>
          </w:tcPr>
          <w:p w:rsidR="00390429" w:rsidRPr="002E48D7" w:rsidP="00713C52" w14:paraId="682A3ED0" w14:textId="77777777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Theorist</w:t>
            </w:r>
          </w:p>
        </w:tc>
        <w:tc>
          <w:tcPr>
            <w:tcW w:w="4050" w:type="dxa"/>
            <w:shd w:val="clear" w:color="auto" w:fill="980927"/>
            <w:vAlign w:val="center"/>
          </w:tcPr>
          <w:p w:rsidR="00390429" w:rsidRPr="002E48D7" w:rsidP="00713C52" w14:paraId="37B892BF" w14:textId="77777777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Name of Theory</w:t>
            </w:r>
          </w:p>
        </w:tc>
        <w:tc>
          <w:tcPr>
            <w:tcW w:w="4860" w:type="dxa"/>
            <w:shd w:val="clear" w:color="auto" w:fill="980927"/>
            <w:vAlign w:val="center"/>
          </w:tcPr>
          <w:p w:rsidR="00390429" w:rsidRPr="002E48D7" w:rsidP="00713C52" w14:paraId="3EE2736B" w14:textId="77777777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Theory Description</w:t>
            </w:r>
          </w:p>
        </w:tc>
        <w:tc>
          <w:tcPr>
            <w:tcW w:w="3240" w:type="dxa"/>
            <w:shd w:val="clear" w:color="auto" w:fill="980927"/>
            <w:vAlign w:val="center"/>
          </w:tcPr>
          <w:p w:rsidR="00390429" w:rsidRPr="002E48D7" w:rsidP="00713C52" w14:paraId="10729508" w14:textId="77777777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 xml:space="preserve">Strategies that </w:t>
            </w:r>
          </w:p>
          <w:p w:rsidR="00390429" w:rsidRPr="002E48D7" w:rsidP="00713C52" w14:textId="77777777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Support Theory</w:t>
            </w:r>
          </w:p>
        </w:tc>
      </w:tr>
      <w:tr w14:paraId="72185063" w14:textId="77777777" w:rsidTr="000154F3">
        <w:tblPrEx>
          <w:tblW w:w="13860" w:type="dxa"/>
          <w:tblInd w:w="-635" w:type="dxa"/>
          <w:tblCellMar>
            <w:top w:w="72" w:type="dxa"/>
            <w:left w:w="72" w:type="dxa"/>
            <w:bottom w:w="72" w:type="dxa"/>
            <w:right w:w="72" w:type="dxa"/>
          </w:tblCellMar>
          <w:tblLook w:val="0620"/>
        </w:tblPrEx>
        <w:tc>
          <w:tcPr>
            <w:tcW w:w="1710" w:type="dxa"/>
          </w:tcPr>
          <w:p w:rsidR="00390429" w:rsidRPr="002E48D7" w:rsidP="002E48D7" w14:paraId="300700F3" w14:textId="7372ACAA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F4018B">
              <w:rPr>
                <w:rFonts w:ascii="Arial" w:eastAsia="Calibri" w:hAnsi="Arial"/>
                <w:color w:val="000000"/>
                <w:sz w:val="20"/>
                <w:szCs w:val="20"/>
              </w:rPr>
              <w:t>John B. Watson. Skinner, Bandura, and Walter Mischel</w:t>
            </w:r>
          </w:p>
        </w:tc>
        <w:tc>
          <w:tcPr>
            <w:tcW w:w="4050" w:type="dxa"/>
          </w:tcPr>
          <w:p w:rsidR="00390429" w:rsidRPr="002E48D7" w:rsidP="002E48D7" w14:paraId="17BC4432" w14:textId="02F5DF4B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Behaviorism </w:t>
            </w:r>
          </w:p>
        </w:tc>
        <w:tc>
          <w:tcPr>
            <w:tcW w:w="4860" w:type="dxa"/>
          </w:tcPr>
          <w:p w:rsidR="00390429" w:rsidRPr="002E48D7" w:rsidP="008363A2" w14:paraId="2C90E471" w14:textId="25F3358A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This specific theory </w:t>
            </w:r>
            <w:r w:rsidR="001E3A21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on learning </w:t>
            </w: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mainly focuses on </w:t>
            </w:r>
            <w:r w:rsidR="001E3A21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changes </w:t>
            </w:r>
            <w:r w:rsidR="002C591A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in an individual's observable </w:t>
            </w:r>
            <w:r w:rsidR="00145792">
              <w:rPr>
                <w:rFonts w:ascii="Arial" w:eastAsia="Calibri" w:hAnsi="Arial"/>
                <w:color w:val="000000"/>
                <w:sz w:val="20"/>
                <w:szCs w:val="20"/>
              </w:rPr>
              <w:t>behaviors</w:t>
            </w:r>
            <w:r w:rsidR="002C591A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</w:tcPr>
          <w:p w:rsidR="00390429" w:rsidP="005C28B7" w14:paraId="442C155B" w14:textId="77777777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A01204">
              <w:rPr>
                <w:rFonts w:ascii="Arial" w:eastAsia="Calibri" w:hAnsi="Arial"/>
                <w:color w:val="000000"/>
                <w:sz w:val="20"/>
                <w:szCs w:val="20"/>
              </w:rPr>
              <w:t>In classrooms, behaviorism is most useful for identifying relationships between specific actions by a student and the immediate precursors and consequences of the actions.</w:t>
            </w:r>
          </w:p>
          <w:p w:rsidR="00E73BF4" w:rsidRPr="002E48D7" w:rsidP="005C28B7" w14:paraId="4D989852" w14:textId="02A483F5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As a teacher, I understand that learners </w:t>
            </w:r>
            <w:r w:rsidR="004874B1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are passive and may learn more skills through external positive reinforcement. </w:t>
            </w:r>
            <w:r w:rsidR="00C61F6D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Drill and </w:t>
            </w:r>
            <w:r w:rsidR="0035571B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practice would be the best </w:t>
            </w:r>
            <w:r w:rsidR="00B377F9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instructional strategy for my students. </w:t>
            </w:r>
            <w:r w:rsidR="00F83BF8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Similarly, </w:t>
            </w:r>
            <w:r w:rsidR="007352F8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complimenting good behavior as </w:t>
            </w:r>
            <w:r w:rsidR="00A54277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 teacher </w:t>
            </w:r>
            <w:r w:rsidR="00074D84">
              <w:rPr>
                <w:rFonts w:ascii="Arial" w:eastAsia="Calibri" w:hAnsi="Arial"/>
                <w:color w:val="000000"/>
                <w:sz w:val="20"/>
                <w:szCs w:val="20"/>
              </w:rPr>
              <w:t>would</w:t>
            </w:r>
            <w:r w:rsidR="00A54277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 indeed </w:t>
            </w:r>
            <w:r w:rsidR="007643D6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tend to make it more repeated. </w:t>
            </w:r>
          </w:p>
        </w:tc>
      </w:tr>
      <w:tr w14:paraId="1DB5D117" w14:textId="77777777" w:rsidTr="000154F3">
        <w:tblPrEx>
          <w:tblW w:w="13860" w:type="dxa"/>
          <w:tblInd w:w="-635" w:type="dxa"/>
          <w:tblCellMar>
            <w:top w:w="72" w:type="dxa"/>
            <w:left w:w="72" w:type="dxa"/>
            <w:bottom w:w="72" w:type="dxa"/>
            <w:right w:w="72" w:type="dxa"/>
          </w:tblCellMar>
          <w:tblLook w:val="0620"/>
        </w:tblPrEx>
        <w:tc>
          <w:tcPr>
            <w:tcW w:w="1710" w:type="dxa"/>
          </w:tcPr>
          <w:p w:rsidR="00390429" w:rsidP="002E48D7" w14:paraId="1D20D50B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John Dewey</w:t>
            </w:r>
          </w:p>
          <w:p w:rsidR="00254298" w:rsidP="002E48D7" w14:paraId="38F609B7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Jean Piaget</w:t>
            </w:r>
          </w:p>
          <w:p w:rsidR="00226E4E" w:rsidRPr="002E48D7" w:rsidP="002E48D7" w14:paraId="29D0D490" w14:textId="0E15DAD5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Jerome </w:t>
            </w:r>
            <w:r w:rsidR="00B5464F">
              <w:rPr>
                <w:rFonts w:ascii="Arial" w:eastAsia="Calibri" w:hAnsi="Arial"/>
                <w:color w:val="000000"/>
                <w:sz w:val="20"/>
                <w:szCs w:val="20"/>
              </w:rPr>
              <w:t>Bruner</w:t>
            </w:r>
          </w:p>
        </w:tc>
        <w:tc>
          <w:tcPr>
            <w:tcW w:w="4050" w:type="dxa"/>
          </w:tcPr>
          <w:p w:rsidR="00390429" w:rsidRPr="002E48D7" w:rsidP="002E48D7" w14:paraId="4B774FAF" w14:textId="57C9B59B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Constructivism </w:t>
            </w:r>
          </w:p>
        </w:tc>
        <w:tc>
          <w:tcPr>
            <w:tcW w:w="4860" w:type="dxa"/>
          </w:tcPr>
          <w:p w:rsidR="00390429" w:rsidRPr="002E48D7" w:rsidP="00036F10" w14:paraId="3B38CF55" w14:textId="6F4D1A9D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Constructivism is </w:t>
            </w:r>
            <w:r w:rsidR="00331E14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 learning theory </w:t>
            </w:r>
            <w:r w:rsidR="00647E6C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that particularly focuses on </w:t>
            </w:r>
            <w:r w:rsidR="003D470F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how students </w:t>
            </w:r>
            <w:r w:rsidR="005C7CA1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actively create </w:t>
            </w:r>
            <w:r w:rsidR="001E6F2D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knowledge </w:t>
            </w:r>
            <w:r w:rsidR="00D76CDC">
              <w:rPr>
                <w:rFonts w:ascii="Arial" w:eastAsia="Calibri" w:hAnsi="Arial"/>
                <w:color w:val="000000"/>
                <w:sz w:val="20"/>
                <w:szCs w:val="20"/>
              </w:rPr>
              <w:t>based on their experiences</w:t>
            </w:r>
            <w:r w:rsidR="009352B8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</w:tcPr>
          <w:p w:rsidR="00390429" w:rsidRPr="002E48D7" w:rsidP="0003036B" w14:paraId="0D76B2CB" w14:textId="2A08E0AC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Based on the constructivism theory, </w:t>
            </w:r>
            <w:r w:rsidR="00B66617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teachers </w:t>
            </w:r>
            <w:r w:rsidR="004264F5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are always focused on finding </w:t>
            </w:r>
            <w:r w:rsidR="009A03F9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better ways through which to enhance the learning experience of their learners. </w:t>
            </w:r>
            <w:r w:rsidR="000B61C9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They must organize the content to be learned as systematically as possible </w:t>
            </w:r>
            <w:r w:rsidR="00BC2B19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by </w:t>
            </w:r>
            <w:r w:rsidR="00D14D71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devising and tailoring </w:t>
            </w:r>
            <w:r w:rsidR="005C2F50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the learning </w:t>
            </w:r>
            <w:r w:rsidR="009501B5">
              <w:rPr>
                <w:rFonts w:ascii="Arial" w:eastAsia="Calibri" w:hAnsi="Arial"/>
                <w:color w:val="000000"/>
                <w:sz w:val="20"/>
                <w:szCs w:val="20"/>
              </w:rPr>
              <w:t>activities that best suit their students</w:t>
            </w:r>
            <w:r w:rsidR="002F5487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. </w:t>
            </w:r>
            <w:r w:rsidR="001D0F05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Because the learner </w:t>
            </w:r>
            <w:r w:rsidR="0003036B">
              <w:rPr>
                <w:rFonts w:ascii="Arial" w:eastAsia="Calibri" w:hAnsi="Arial"/>
                <w:color w:val="000000"/>
                <w:sz w:val="20"/>
                <w:szCs w:val="20"/>
              </w:rPr>
              <w:t>builds</w:t>
            </w:r>
            <w:r w:rsidR="001D0F05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 on personal experiences, I wil</w:t>
            </w:r>
            <w:r w:rsidR="00552158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l use </w:t>
            </w:r>
            <w:r w:rsidR="00BC609D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collaborative group learning to </w:t>
            </w:r>
            <w:r w:rsidR="0003036B">
              <w:rPr>
                <w:rFonts w:ascii="Arial" w:eastAsia="Calibri" w:hAnsi="Arial"/>
                <w:color w:val="000000"/>
                <w:sz w:val="20"/>
                <w:szCs w:val="20"/>
              </w:rPr>
              <w:t>enhance</w:t>
            </w:r>
            <w:r w:rsidR="00BC609D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 their abilities to acquire more skills. </w:t>
            </w:r>
          </w:p>
        </w:tc>
      </w:tr>
      <w:tr w14:paraId="4E1C8BF3" w14:textId="77777777" w:rsidTr="000154F3">
        <w:tblPrEx>
          <w:tblW w:w="13860" w:type="dxa"/>
          <w:tblInd w:w="-635" w:type="dxa"/>
          <w:tblCellMar>
            <w:top w:w="72" w:type="dxa"/>
            <w:left w:w="72" w:type="dxa"/>
            <w:bottom w:w="72" w:type="dxa"/>
            <w:right w:w="72" w:type="dxa"/>
          </w:tblCellMar>
          <w:tblLook w:val="0620"/>
        </w:tblPrEx>
        <w:tc>
          <w:tcPr>
            <w:tcW w:w="1710" w:type="dxa"/>
          </w:tcPr>
          <w:p w:rsidR="00DD43EC" w:rsidP="00DD43EC" w14:paraId="4ADD1EAD" w14:textId="77777777">
            <w:pPr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DD43EC">
              <w:rPr>
                <w:rFonts w:ascii="Arial" w:eastAsia="Calibri" w:hAnsi="Arial"/>
                <w:color w:val="000000"/>
                <w:sz w:val="20"/>
                <w:szCs w:val="20"/>
              </w:rPr>
              <w:t>Jean Piaget, Jerome Bruner</w:t>
            </w:r>
          </w:p>
          <w:p w:rsidR="00DD43EC" w:rsidP="00DD43EC" w14:paraId="25438C81" w14:textId="77777777">
            <w:pPr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DD43EC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Robert Mills Gagne, Marriner </w:t>
            </w:r>
          </w:p>
          <w:p w:rsidR="00DD43EC" w:rsidRPr="00DD43EC" w:rsidP="00DD43EC" w14:paraId="01E89F7F" w14:textId="1FEEBFDF">
            <w:pPr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DD43EC">
              <w:rPr>
                <w:rFonts w:ascii="Arial" w:eastAsia="Calibri" w:hAnsi="Arial"/>
                <w:color w:val="000000"/>
                <w:sz w:val="20"/>
                <w:szCs w:val="20"/>
              </w:rPr>
              <w:t>David Merill, Charles Reigeluth, and Roger Schank.</w:t>
            </w:r>
          </w:p>
          <w:p w:rsidR="00390429" w:rsidRPr="002E48D7" w:rsidP="002E48D7" w14:paraId="632333CC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:rsidR="00390429" w:rsidRPr="002E48D7" w:rsidP="002E48D7" w14:paraId="58870E25" w14:textId="12394231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Cognitivism </w:t>
            </w:r>
          </w:p>
        </w:tc>
        <w:tc>
          <w:tcPr>
            <w:tcW w:w="4860" w:type="dxa"/>
          </w:tcPr>
          <w:p w:rsidR="00390429" w:rsidRPr="002E48D7" w:rsidP="002576DE" w14:paraId="50369701" w14:textId="47559981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This theory posits </w:t>
            </w:r>
            <w:r w:rsidR="00A90A8E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that learning changes </w:t>
            </w:r>
            <w:r w:rsidR="000B7D20">
              <w:rPr>
                <w:rFonts w:ascii="Arial" w:eastAsia="Calibri" w:hAnsi="Arial"/>
                <w:color w:val="000000"/>
                <w:sz w:val="20"/>
                <w:szCs w:val="20"/>
              </w:rPr>
              <w:t>a learner</w:t>
            </w:r>
            <w:r w:rsidR="00B07870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’s </w:t>
            </w:r>
            <w:r w:rsidR="009D6741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mental model of </w:t>
            </w:r>
            <w:r w:rsidR="00F82A75">
              <w:rPr>
                <w:rFonts w:ascii="Arial" w:eastAsia="Calibri" w:hAnsi="Arial"/>
                <w:color w:val="000000"/>
                <w:sz w:val="20"/>
                <w:szCs w:val="20"/>
              </w:rPr>
              <w:t>understanding</w:t>
            </w:r>
            <w:r w:rsidR="009D6741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 knowledge. </w:t>
            </w:r>
            <w:r w:rsidR="00147548">
              <w:rPr>
                <w:rFonts w:ascii="Arial" w:eastAsia="Calibri" w:hAnsi="Arial"/>
                <w:color w:val="000000"/>
                <w:sz w:val="20"/>
                <w:szCs w:val="20"/>
              </w:rPr>
              <w:t>R</w:t>
            </w:r>
            <w:r w:rsidRPr="00147548" w:rsidR="00147548">
              <w:rPr>
                <w:rFonts w:ascii="Arial" w:eastAsia="Calibri" w:hAnsi="Arial"/>
                <w:color w:val="000000"/>
                <w:sz w:val="20"/>
                <w:szCs w:val="20"/>
              </w:rPr>
              <w:t>ather than simply a conditioned response to external stimuli. Learning involves the integration of information into a stored and usable body of knowledge.</w:t>
            </w:r>
          </w:p>
        </w:tc>
        <w:tc>
          <w:tcPr>
            <w:tcW w:w="3240" w:type="dxa"/>
          </w:tcPr>
          <w:p w:rsidR="00390429" w:rsidRPr="002E48D7" w:rsidP="00B30A5A" w14:paraId="594BDAFA" w14:textId="2C962583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987CDF">
              <w:rPr>
                <w:rFonts w:ascii="Arial" w:eastAsia="Calibri" w:hAnsi="Arial"/>
                <w:color w:val="000000"/>
                <w:sz w:val="20"/>
                <w:szCs w:val="20"/>
              </w:rPr>
              <w:t>Cognitive psychology derives, in part, from Piaget’s stages of development, which depend on biological factors such as age. Learning capacity and activity change over time as a person moves through life</w:t>
            </w:r>
            <w:r w:rsidR="00664A94">
              <w:rPr>
                <w:rFonts w:ascii="Arial" w:eastAsia="Calibri" w:hAnsi="Arial"/>
                <w:color w:val="000000"/>
                <w:sz w:val="20"/>
                <w:szCs w:val="20"/>
              </w:rPr>
              <w:t>. For my learners, I will use visual tools to enhance memorization</w:t>
            </w:r>
            <w:r w:rsidR="00A45C2B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 and retention. </w:t>
            </w:r>
          </w:p>
        </w:tc>
      </w:tr>
      <w:tr w14:paraId="671B6FDC" w14:textId="77777777" w:rsidTr="000154F3">
        <w:tblPrEx>
          <w:tblW w:w="13860" w:type="dxa"/>
          <w:tblInd w:w="-635" w:type="dxa"/>
          <w:tblCellMar>
            <w:top w:w="72" w:type="dxa"/>
            <w:left w:w="72" w:type="dxa"/>
            <w:bottom w:w="72" w:type="dxa"/>
            <w:right w:w="72" w:type="dxa"/>
          </w:tblCellMar>
          <w:tblLook w:val="0620"/>
        </w:tblPrEx>
        <w:tc>
          <w:tcPr>
            <w:tcW w:w="1710" w:type="dxa"/>
          </w:tcPr>
          <w:p w:rsidR="00AA579B" w:rsidRPr="00AA579B" w:rsidP="00AA579B" w14:paraId="36B65543" w14:textId="77777777">
            <w:pPr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AA579B">
              <w:rPr>
                <w:rFonts w:ascii="Arial" w:eastAsia="Calibri" w:hAnsi="Arial"/>
                <w:color w:val="000000"/>
                <w:sz w:val="20"/>
                <w:szCs w:val="20"/>
              </w:rPr>
              <w:t>David A. Kolb and Carl Rogers</w:t>
            </w:r>
          </w:p>
          <w:p w:rsidR="00390429" w:rsidRPr="002E48D7" w:rsidP="002E48D7" w14:paraId="3831CF08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:rsidR="00390429" w:rsidRPr="002E48D7" w:rsidP="002E48D7" w14:paraId="69E03301" w14:textId="12650C4F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Experientialism </w:t>
            </w:r>
          </w:p>
        </w:tc>
        <w:tc>
          <w:tcPr>
            <w:tcW w:w="4860" w:type="dxa"/>
          </w:tcPr>
          <w:p w:rsidR="00390429" w:rsidRPr="002E48D7" w:rsidP="00EA5AB5" w14:paraId="5911AA0B" w14:textId="5AAD470D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EA5AB5">
              <w:rPr>
                <w:rFonts w:ascii="Arial" w:eastAsia="Calibri" w:hAnsi="Arial"/>
                <w:color w:val="000000"/>
                <w:sz w:val="20"/>
                <w:szCs w:val="20"/>
              </w:rPr>
              <w:t>Experiential learning theories identify the meaningful everyday experience as the most central factor in increasing a learner's knowledge and understanding and transforming their behavior.</w:t>
            </w:r>
            <w:r w:rsidR="00C76A96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 The theory </w:t>
            </w:r>
            <w:r w:rsidR="00AA6DF3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states that students are much likely to learn </w:t>
            </w:r>
            <w:r w:rsidR="00946BEB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and retain information </w:t>
            </w:r>
            <w:r w:rsidR="008532C9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when they participate actively </w:t>
            </w:r>
            <w:r w:rsidR="0062057F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in the learning process. </w:t>
            </w:r>
          </w:p>
        </w:tc>
        <w:tc>
          <w:tcPr>
            <w:tcW w:w="3240" w:type="dxa"/>
          </w:tcPr>
          <w:p w:rsidR="00390429" w:rsidRPr="002E48D7" w:rsidP="00914CC2" w14:paraId="15B54B6E" w14:textId="058AA6F8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Experientialism supports </w:t>
            </w:r>
            <w:r w:rsidR="007F7A15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the argument that learning is a dynamic </w:t>
            </w:r>
            <w:r w:rsidR="003529F4">
              <w:rPr>
                <w:rFonts w:ascii="Arial" w:eastAsia="Calibri" w:hAnsi="Arial"/>
                <w:color w:val="000000"/>
                <w:sz w:val="20"/>
                <w:szCs w:val="20"/>
              </w:rPr>
              <w:t>process</w:t>
            </w:r>
            <w:r w:rsidR="0024065F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. For this reason, educators are required to </w:t>
            </w:r>
            <w:r w:rsidR="002C6D8D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create a conducive environment where </w:t>
            </w:r>
            <w:r w:rsidR="008110EF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learners can freely experiment </w:t>
            </w:r>
            <w:r w:rsidR="004A5669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and test their new skills and concepts. </w:t>
            </w:r>
            <w:r w:rsidR="00B30A5A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As a teacher, I will encourage my students to </w:t>
            </w:r>
            <w:r w:rsidR="00D7412A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practice their </w:t>
            </w:r>
            <w:r w:rsidR="00A16D2E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skills in practical scenarios </w:t>
            </w:r>
            <w:r w:rsidR="00024640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in the classroom. </w:t>
            </w:r>
          </w:p>
        </w:tc>
      </w:tr>
      <w:tr w14:paraId="569269EA" w14:textId="77777777" w:rsidTr="000154F3">
        <w:tblPrEx>
          <w:tblW w:w="13860" w:type="dxa"/>
          <w:tblInd w:w="-635" w:type="dxa"/>
          <w:tblCellMar>
            <w:top w:w="72" w:type="dxa"/>
            <w:left w:w="72" w:type="dxa"/>
            <w:bottom w:w="72" w:type="dxa"/>
            <w:right w:w="72" w:type="dxa"/>
          </w:tblCellMar>
          <w:tblLook w:val="0620"/>
        </w:tblPrEx>
        <w:tc>
          <w:tcPr>
            <w:tcW w:w="1710" w:type="dxa"/>
          </w:tcPr>
          <w:p w:rsidR="0089051C" w:rsidRPr="0089051C" w:rsidP="0089051C" w14:paraId="09E0BA29" w14:textId="77777777">
            <w:pPr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89051C">
              <w:rPr>
                <w:rFonts w:ascii="Arial" w:eastAsia="Calibri" w:hAnsi="Arial"/>
                <w:color w:val="000000"/>
                <w:sz w:val="20"/>
                <w:szCs w:val="20"/>
              </w:rPr>
              <w:t>Lev Vygotsky, Albert Bandura, Jean Lave, Rogoff, Etienne Wenger, and Thomas Sergiovanni</w:t>
            </w:r>
          </w:p>
          <w:p w:rsidR="00390429" w:rsidRPr="002E48D7" w:rsidP="002E48D7" w14:paraId="229F2DE7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:rsidR="00390429" w:rsidRPr="002E48D7" w:rsidP="002E48D7" w14:paraId="4FB0CEBC" w14:textId="3DC815F4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Social and contextual </w:t>
            </w:r>
          </w:p>
        </w:tc>
        <w:tc>
          <w:tcPr>
            <w:tcW w:w="4860" w:type="dxa"/>
          </w:tcPr>
          <w:p w:rsidR="00390429" w:rsidRPr="002E48D7" w:rsidP="00883637" w14:paraId="4CF7D7A4" w14:textId="071C7CE7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630D07">
              <w:rPr>
                <w:rFonts w:ascii="Arial" w:eastAsia="Calibri" w:hAnsi="Arial"/>
                <w:color w:val="000000"/>
                <w:sz w:val="20"/>
                <w:szCs w:val="20"/>
              </w:rPr>
              <w:t>Social learning theory pays particular attention to social and interactive aspects of learning</w:t>
            </w:r>
            <w:r w:rsidR="0061768B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. The theory posits that </w:t>
            </w:r>
            <w:r w:rsidRPr="00934ACB" w:rsidR="00934ACB">
              <w:rPr>
                <w:rFonts w:ascii="Arial" w:eastAsia="Calibri" w:hAnsi="Arial"/>
                <w:color w:val="000000"/>
                <w:sz w:val="20"/>
                <w:szCs w:val="20"/>
              </w:rPr>
              <w:t>learning works best in a community of practice that produces social capital that improves the community's health and its members.</w:t>
            </w:r>
          </w:p>
        </w:tc>
        <w:tc>
          <w:tcPr>
            <w:tcW w:w="3240" w:type="dxa"/>
          </w:tcPr>
          <w:p w:rsidR="00390429" w:rsidRPr="002E48D7" w:rsidP="00112874" w14:paraId="5B188425" w14:textId="343E352B">
            <w:pPr>
              <w:spacing w:before="240" w:beforeAutospacing="1"/>
              <w:jc w:val="both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 w:rsidRPr="00112874">
              <w:rPr>
                <w:rFonts w:ascii="Arial" w:eastAsia="Calibri" w:hAnsi="Arial"/>
                <w:color w:val="000000"/>
                <w:sz w:val="20"/>
                <w:szCs w:val="20"/>
              </w:rPr>
              <w:t>The efforts of today's teachers to connect students' new and preexisting knowledge align with social and contextual learning</w:t>
            </w:r>
            <w:r w:rsidR="00A21CD8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. As a teacher, I will attempt to create </w:t>
            </w:r>
            <w:r w:rsidR="000143B6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 multifaceted and experiential learning environment that </w:t>
            </w:r>
            <w:r w:rsidR="00B55350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assists my students in forging new </w:t>
            </w:r>
            <w:r w:rsidR="00D47CCF">
              <w:rPr>
                <w:rFonts w:ascii="Arial" w:eastAsia="Calibri" w:hAnsi="Arial"/>
                <w:color w:val="000000"/>
                <w:sz w:val="20"/>
                <w:szCs w:val="20"/>
              </w:rPr>
              <w:t>connections</w:t>
            </w:r>
            <w:r w:rsidR="00B55350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 </w:t>
            </w:r>
            <w:r w:rsidR="00FB6827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independently. </w:t>
            </w:r>
          </w:p>
        </w:tc>
      </w:tr>
      <w:tr w14:paraId="3C078D65" w14:textId="77777777" w:rsidTr="000154F3">
        <w:tblPrEx>
          <w:tblW w:w="13860" w:type="dxa"/>
          <w:tblInd w:w="-635" w:type="dxa"/>
          <w:tblCellMar>
            <w:top w:w="72" w:type="dxa"/>
            <w:left w:w="72" w:type="dxa"/>
            <w:bottom w:w="72" w:type="dxa"/>
            <w:right w:w="72" w:type="dxa"/>
          </w:tblCellMar>
          <w:tblLook w:val="0620"/>
        </w:tblPrEx>
        <w:tc>
          <w:tcPr>
            <w:tcW w:w="1710" w:type="dxa"/>
          </w:tcPr>
          <w:p w:rsidR="00390429" w:rsidP="002E48D7" w14:paraId="7CD93F74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  <w:p w:rsidR="00662F43" w:rsidP="002E48D7" w14:paraId="62C7F282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  <w:p w:rsidR="00662F43" w:rsidRPr="002E48D7" w:rsidP="002E48D7" w14:paraId="49F6141E" w14:textId="562F8C14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>George Simens</w:t>
            </w:r>
          </w:p>
        </w:tc>
        <w:tc>
          <w:tcPr>
            <w:tcW w:w="4050" w:type="dxa"/>
          </w:tcPr>
          <w:p w:rsidR="008C2210" w:rsidP="002E48D7" w14:paraId="253EE7E9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  <w:p w:rsidR="008C2210" w:rsidP="002E48D7" w14:paraId="154475FD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  <w:p w:rsidR="00390429" w:rsidRPr="002E48D7" w:rsidP="002E48D7" w14:paraId="006EA223" w14:textId="79538C90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Connectivism </w:t>
            </w:r>
          </w:p>
        </w:tc>
        <w:tc>
          <w:tcPr>
            <w:tcW w:w="4860" w:type="dxa"/>
          </w:tcPr>
          <w:p w:rsidR="008C2210" w:rsidP="002E48D7" w14:paraId="08328A89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  <w:p w:rsidR="008C2210" w:rsidP="002E48D7" w14:paraId="1CDC7025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  <w:p w:rsidR="00390429" w:rsidRPr="002E48D7" w:rsidP="002E48D7" w14:paraId="2F4EC706" w14:textId="15F96D22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This </w:t>
            </w:r>
            <w:r w:rsidRPr="008C2210" w:rsidR="008C2210">
              <w:rPr>
                <w:rFonts w:ascii="Arial" w:eastAsia="Calibri" w:hAnsi="Arial"/>
                <w:color w:val="000000"/>
                <w:sz w:val="20"/>
                <w:szCs w:val="20"/>
              </w:rPr>
              <w:t>is a theoretical framework for understanding learning in a digital age. It emphasizes how internet technologies such as web browsers, search engines, wikis, online discussion forums, and social networks contributed to new avenues of learning.</w:t>
            </w:r>
          </w:p>
        </w:tc>
        <w:tc>
          <w:tcPr>
            <w:tcW w:w="3240" w:type="dxa"/>
          </w:tcPr>
          <w:p w:rsidR="00390429" w:rsidP="002E48D7" w14:paraId="17B1345F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  <w:p w:rsidR="00A45CD3" w:rsidP="002E48D7" w14:paraId="2C8587E3" w14:textId="7777777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  <w:p w:rsidR="00A45CD3" w:rsidRPr="002E48D7" w:rsidP="002E48D7" w14:paraId="7C35EE65" w14:textId="18A5F87A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Based on this theory, learning is no longer an individualistic and internal activity; it requires the creation of </w:t>
            </w:r>
            <w:r w:rsidR="004404B8">
              <w:rPr>
                <w:rFonts w:ascii="Arial" w:eastAsia="Calibri" w:hAnsi="Arial"/>
                <w:color w:val="000000"/>
                <w:sz w:val="20"/>
                <w:szCs w:val="20"/>
              </w:rPr>
              <w:t>connections between the learners and technology</w:t>
            </w:r>
            <w:r w:rsidR="00F33A75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. In this sense, I will </w:t>
            </w:r>
            <w:r w:rsidR="00FD7764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we interconnectedness </w:t>
            </w:r>
            <w:r w:rsidR="00E74BC5">
              <w:rPr>
                <w:rFonts w:ascii="Arial" w:eastAsia="Calibri" w:hAnsi="Arial"/>
                <w:color w:val="000000"/>
                <w:sz w:val="20"/>
                <w:szCs w:val="20"/>
              </w:rPr>
              <w:t>to enhance student learning in my class</w:t>
            </w:r>
            <w:r w:rsidR="00662F43">
              <w:rPr>
                <w:rFonts w:ascii="Arial" w:eastAsia="Calibri" w:hAnsi="Arial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793BB6" w:rsidRPr="00793BB6" w:rsidP="008719C6" w14:paraId="08C81EC2" w14:textId="77777777"/>
    <w:sectPr w:rsidSect="00DE228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620" w:header="450" w:footer="3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008D" w14:paraId="2F4715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F17" w:rsidP="00174F17" w14:paraId="6F164334" w14:textId="77777777">
    <w:pPr>
      <w:jc w:val="right"/>
    </w:pPr>
    <w:r>
      <w:rPr>
        <w:rStyle w:val="TitleChar"/>
        <w:caps/>
        <w:sz w:val="20"/>
        <w:szCs w:val="20"/>
      </w:rPr>
      <w:t xml:space="preserve">   </w:t>
    </w:r>
    <w:sdt>
      <w:sdtPr>
        <w:id w:val="-1096398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08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AC0913" w:rsidP="0044560E" w14:paraId="441D21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008D" w14:paraId="79DF6D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008D" w14:paraId="31B606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16B" w:rsidRPr="00DE228A" w:rsidP="00DE228A" w14:paraId="60DF9E66" w14:textId="77777777">
    <w:pPr>
      <w:pStyle w:val="Header"/>
      <w:ind w:left="-630" w:right="-450"/>
    </w:pPr>
    <w:r>
      <w:rPr>
        <w:noProof/>
      </w:rPr>
      <w:drawing>
        <wp:inline distT="0" distB="0" distL="0" distR="0">
          <wp:extent cx="8823960" cy="50292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APS-wide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396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008D" w14:paraId="5E3E15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747ADC"/>
    <w:multiLevelType w:val="hybridMultilevel"/>
    <w:tmpl w:val="1C068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076E7"/>
    <w:multiLevelType w:val="hybridMultilevel"/>
    <w:tmpl w:val="7E38C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554A7"/>
    <w:multiLevelType w:val="hybridMultilevel"/>
    <w:tmpl w:val="5EF69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6B"/>
    <w:rsid w:val="00010272"/>
    <w:rsid w:val="000143B6"/>
    <w:rsid w:val="000154F3"/>
    <w:rsid w:val="00024640"/>
    <w:rsid w:val="0003036B"/>
    <w:rsid w:val="00036F10"/>
    <w:rsid w:val="00074D84"/>
    <w:rsid w:val="00085542"/>
    <w:rsid w:val="00090B59"/>
    <w:rsid w:val="0009538C"/>
    <w:rsid w:val="00096D60"/>
    <w:rsid w:val="000B61C9"/>
    <w:rsid w:val="000B7D20"/>
    <w:rsid w:val="000B7FE6"/>
    <w:rsid w:val="000E0845"/>
    <w:rsid w:val="00112874"/>
    <w:rsid w:val="00140195"/>
    <w:rsid w:val="00145792"/>
    <w:rsid w:val="00147548"/>
    <w:rsid w:val="00174F17"/>
    <w:rsid w:val="00181921"/>
    <w:rsid w:val="001862D8"/>
    <w:rsid w:val="001A3DE3"/>
    <w:rsid w:val="001B5958"/>
    <w:rsid w:val="001C53E6"/>
    <w:rsid w:val="001D0F05"/>
    <w:rsid w:val="001D7674"/>
    <w:rsid w:val="001E3A21"/>
    <w:rsid w:val="001E58D9"/>
    <w:rsid w:val="001E6F2D"/>
    <w:rsid w:val="0021416B"/>
    <w:rsid w:val="00226C97"/>
    <w:rsid w:val="00226E4E"/>
    <w:rsid w:val="0024065F"/>
    <w:rsid w:val="00250729"/>
    <w:rsid w:val="00253E60"/>
    <w:rsid w:val="00254298"/>
    <w:rsid w:val="002576DE"/>
    <w:rsid w:val="00272D84"/>
    <w:rsid w:val="00277564"/>
    <w:rsid w:val="00282161"/>
    <w:rsid w:val="002949C6"/>
    <w:rsid w:val="002A2773"/>
    <w:rsid w:val="002C447C"/>
    <w:rsid w:val="002C47CD"/>
    <w:rsid w:val="002C591A"/>
    <w:rsid w:val="002C6D8D"/>
    <w:rsid w:val="002E48D7"/>
    <w:rsid w:val="002F09B0"/>
    <w:rsid w:val="002F5487"/>
    <w:rsid w:val="002F6754"/>
    <w:rsid w:val="0030348D"/>
    <w:rsid w:val="00331E14"/>
    <w:rsid w:val="003529F4"/>
    <w:rsid w:val="0035571B"/>
    <w:rsid w:val="00357C35"/>
    <w:rsid w:val="003824FB"/>
    <w:rsid w:val="00390429"/>
    <w:rsid w:val="003A4317"/>
    <w:rsid w:val="003D470F"/>
    <w:rsid w:val="003E218E"/>
    <w:rsid w:val="003F55F9"/>
    <w:rsid w:val="004264F5"/>
    <w:rsid w:val="0043652B"/>
    <w:rsid w:val="004404B8"/>
    <w:rsid w:val="0044560E"/>
    <w:rsid w:val="004600AC"/>
    <w:rsid w:val="0046660C"/>
    <w:rsid w:val="00484A93"/>
    <w:rsid w:val="004874B1"/>
    <w:rsid w:val="00490241"/>
    <w:rsid w:val="00492D71"/>
    <w:rsid w:val="00495C28"/>
    <w:rsid w:val="004A46FE"/>
    <w:rsid w:val="004A5669"/>
    <w:rsid w:val="004B62E6"/>
    <w:rsid w:val="004E2CCA"/>
    <w:rsid w:val="005135F2"/>
    <w:rsid w:val="00524789"/>
    <w:rsid w:val="00552158"/>
    <w:rsid w:val="00580B8D"/>
    <w:rsid w:val="00582B00"/>
    <w:rsid w:val="005C28B7"/>
    <w:rsid w:val="005C2F50"/>
    <w:rsid w:val="005C3DDF"/>
    <w:rsid w:val="005C73F4"/>
    <w:rsid w:val="005C7CA1"/>
    <w:rsid w:val="005E7675"/>
    <w:rsid w:val="006057CE"/>
    <w:rsid w:val="00607DC1"/>
    <w:rsid w:val="0061768B"/>
    <w:rsid w:val="0062057F"/>
    <w:rsid w:val="006238EB"/>
    <w:rsid w:val="00630D07"/>
    <w:rsid w:val="00645813"/>
    <w:rsid w:val="00647E6C"/>
    <w:rsid w:val="00651D0C"/>
    <w:rsid w:val="00657DA2"/>
    <w:rsid w:val="00661E41"/>
    <w:rsid w:val="00662F43"/>
    <w:rsid w:val="00664A94"/>
    <w:rsid w:val="0067276A"/>
    <w:rsid w:val="00695EE7"/>
    <w:rsid w:val="006B6D85"/>
    <w:rsid w:val="006E5D16"/>
    <w:rsid w:val="007038E0"/>
    <w:rsid w:val="00704953"/>
    <w:rsid w:val="00706C42"/>
    <w:rsid w:val="00712002"/>
    <w:rsid w:val="00713C52"/>
    <w:rsid w:val="00723149"/>
    <w:rsid w:val="00726F36"/>
    <w:rsid w:val="007352F8"/>
    <w:rsid w:val="0075061A"/>
    <w:rsid w:val="007643D6"/>
    <w:rsid w:val="0077709A"/>
    <w:rsid w:val="00793BB6"/>
    <w:rsid w:val="007B61FC"/>
    <w:rsid w:val="007C0184"/>
    <w:rsid w:val="007F4374"/>
    <w:rsid w:val="007F63A2"/>
    <w:rsid w:val="007F7A15"/>
    <w:rsid w:val="008110EF"/>
    <w:rsid w:val="00817B5C"/>
    <w:rsid w:val="00824F3A"/>
    <w:rsid w:val="008363A2"/>
    <w:rsid w:val="00837BFF"/>
    <w:rsid w:val="008532C9"/>
    <w:rsid w:val="00854DC7"/>
    <w:rsid w:val="00865D5B"/>
    <w:rsid w:val="0086668D"/>
    <w:rsid w:val="008719C6"/>
    <w:rsid w:val="00883637"/>
    <w:rsid w:val="0089051C"/>
    <w:rsid w:val="008C2210"/>
    <w:rsid w:val="00907CF8"/>
    <w:rsid w:val="00914CC2"/>
    <w:rsid w:val="00934ACB"/>
    <w:rsid w:val="00934D4E"/>
    <w:rsid w:val="009352B8"/>
    <w:rsid w:val="00946BEB"/>
    <w:rsid w:val="009501B5"/>
    <w:rsid w:val="00950925"/>
    <w:rsid w:val="00960587"/>
    <w:rsid w:val="0098441F"/>
    <w:rsid w:val="00987CDF"/>
    <w:rsid w:val="009915D8"/>
    <w:rsid w:val="00991B72"/>
    <w:rsid w:val="009951EC"/>
    <w:rsid w:val="009A008D"/>
    <w:rsid w:val="009A03F9"/>
    <w:rsid w:val="009D0EAB"/>
    <w:rsid w:val="009D1045"/>
    <w:rsid w:val="009D6741"/>
    <w:rsid w:val="009E3297"/>
    <w:rsid w:val="009E4377"/>
    <w:rsid w:val="009E78C3"/>
    <w:rsid w:val="00A00CBB"/>
    <w:rsid w:val="00A01204"/>
    <w:rsid w:val="00A16D2E"/>
    <w:rsid w:val="00A21CD8"/>
    <w:rsid w:val="00A44C6F"/>
    <w:rsid w:val="00A45C2B"/>
    <w:rsid w:val="00A45CD3"/>
    <w:rsid w:val="00A471C1"/>
    <w:rsid w:val="00A54277"/>
    <w:rsid w:val="00A90A8E"/>
    <w:rsid w:val="00A97584"/>
    <w:rsid w:val="00AA0164"/>
    <w:rsid w:val="00AA579B"/>
    <w:rsid w:val="00AA6DF3"/>
    <w:rsid w:val="00AA7CB8"/>
    <w:rsid w:val="00AC0913"/>
    <w:rsid w:val="00AD621F"/>
    <w:rsid w:val="00B07870"/>
    <w:rsid w:val="00B30A5A"/>
    <w:rsid w:val="00B377F9"/>
    <w:rsid w:val="00B5464F"/>
    <w:rsid w:val="00B55350"/>
    <w:rsid w:val="00B66617"/>
    <w:rsid w:val="00B960C8"/>
    <w:rsid w:val="00BB1B7C"/>
    <w:rsid w:val="00BC2B19"/>
    <w:rsid w:val="00BC609D"/>
    <w:rsid w:val="00C006CB"/>
    <w:rsid w:val="00C01219"/>
    <w:rsid w:val="00C1187E"/>
    <w:rsid w:val="00C47A4B"/>
    <w:rsid w:val="00C61CA5"/>
    <w:rsid w:val="00C61F6D"/>
    <w:rsid w:val="00C76A96"/>
    <w:rsid w:val="00C932F3"/>
    <w:rsid w:val="00CA3DB3"/>
    <w:rsid w:val="00CC11D7"/>
    <w:rsid w:val="00CD413A"/>
    <w:rsid w:val="00CE59D6"/>
    <w:rsid w:val="00CF0149"/>
    <w:rsid w:val="00CF2851"/>
    <w:rsid w:val="00D1166E"/>
    <w:rsid w:val="00D14D71"/>
    <w:rsid w:val="00D41A8A"/>
    <w:rsid w:val="00D42FEA"/>
    <w:rsid w:val="00D47CCF"/>
    <w:rsid w:val="00D6797B"/>
    <w:rsid w:val="00D71F7E"/>
    <w:rsid w:val="00D7412A"/>
    <w:rsid w:val="00D76CDC"/>
    <w:rsid w:val="00D76D45"/>
    <w:rsid w:val="00D93332"/>
    <w:rsid w:val="00D9471D"/>
    <w:rsid w:val="00D96A80"/>
    <w:rsid w:val="00DB2699"/>
    <w:rsid w:val="00DB495C"/>
    <w:rsid w:val="00DD42C1"/>
    <w:rsid w:val="00DD43EC"/>
    <w:rsid w:val="00DE228A"/>
    <w:rsid w:val="00E01787"/>
    <w:rsid w:val="00E14EE8"/>
    <w:rsid w:val="00E238D9"/>
    <w:rsid w:val="00E27D79"/>
    <w:rsid w:val="00E33501"/>
    <w:rsid w:val="00E55F80"/>
    <w:rsid w:val="00E66115"/>
    <w:rsid w:val="00E73BF4"/>
    <w:rsid w:val="00E74BC5"/>
    <w:rsid w:val="00E8299E"/>
    <w:rsid w:val="00E87266"/>
    <w:rsid w:val="00E908B0"/>
    <w:rsid w:val="00EA2F20"/>
    <w:rsid w:val="00EA5AB5"/>
    <w:rsid w:val="00ED0E02"/>
    <w:rsid w:val="00ED2431"/>
    <w:rsid w:val="00ED7096"/>
    <w:rsid w:val="00EF1522"/>
    <w:rsid w:val="00F07E7E"/>
    <w:rsid w:val="00F1083F"/>
    <w:rsid w:val="00F150F2"/>
    <w:rsid w:val="00F17EDE"/>
    <w:rsid w:val="00F33A75"/>
    <w:rsid w:val="00F4018B"/>
    <w:rsid w:val="00F57F00"/>
    <w:rsid w:val="00F63791"/>
    <w:rsid w:val="00F82A75"/>
    <w:rsid w:val="00F83138"/>
    <w:rsid w:val="00F83BF8"/>
    <w:rsid w:val="00FB44A7"/>
    <w:rsid w:val="00FB6827"/>
    <w:rsid w:val="00FD7764"/>
    <w:rsid w:val="00FF6B10"/>
  </w:rsids>
  <w:docVars>
    <w:docVar w:name="dgnword-docGUID" w:val="{F40E625A-A212-433C-BC08-84A7B9ED3221}"/>
    <w:docVar w:name="dgnword-eventsink" w:val="120791568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90083"/>
  <w15:docId w15:val="{E99960BE-B4B5-46BD-BB5A-A8EB9FC1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60E"/>
    <w:rPr>
      <w:rFonts w:ascii="Georgia" w:hAnsi="Georgia" w:cs="Arial"/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43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431"/>
    <w:pPr>
      <w:keepNext/>
      <w:keepLines/>
      <w:spacing w:before="40" w:after="0"/>
      <w:outlineLvl w:val="1"/>
    </w:pPr>
    <w:rPr>
      <w:rFonts w:eastAsiaTheme="majorEastAsia" w:cstheme="majorBidi"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431"/>
    <w:pPr>
      <w:keepNext/>
      <w:keepLines/>
      <w:spacing w:before="40" w:after="0"/>
      <w:outlineLvl w:val="2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431"/>
    <w:pPr>
      <w:keepNext/>
      <w:keepLines/>
      <w:spacing w:before="40" w:after="0"/>
      <w:outlineLvl w:val="3"/>
    </w:pPr>
    <w:rPr>
      <w:rFonts w:eastAsiaTheme="majorEastAsia" w:cstheme="majorBidi"/>
      <w:i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Title">
    <w:name w:val="Program Title"/>
    <w:basedOn w:val="Normal"/>
    <w:qFormat/>
    <w:rsid w:val="00181921"/>
    <w:pPr>
      <w:spacing w:after="0"/>
    </w:pPr>
    <w:rPr>
      <w:b/>
      <w:color w:val="626466"/>
      <w:sz w:val="24"/>
      <w:szCs w:val="24"/>
    </w:rPr>
  </w:style>
  <w:style w:type="paragraph" w:customStyle="1" w:styleId="SchoolOFTitle">
    <w:name w:val="School OF Title"/>
    <w:basedOn w:val="Normal"/>
    <w:link w:val="SchoolOFTitleChar"/>
    <w:qFormat/>
    <w:rsid w:val="00181921"/>
    <w:pPr>
      <w:spacing w:after="0"/>
    </w:pPr>
    <w:rPr>
      <w:color w:val="626466"/>
      <w:sz w:val="24"/>
      <w:szCs w:val="24"/>
    </w:rPr>
  </w:style>
  <w:style w:type="character" w:customStyle="1" w:styleId="SchoolOFTitleChar">
    <w:name w:val="School OF Title Char"/>
    <w:basedOn w:val="DefaultParagraphFont"/>
    <w:link w:val="SchoolOFTitle"/>
    <w:rsid w:val="00181921"/>
    <w:rPr>
      <w:rFonts w:ascii="Georgia" w:hAnsi="Georgia" w:eastAsiaTheme="minorEastAsia"/>
      <w:color w:val="6264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6B"/>
  </w:style>
  <w:style w:type="paragraph" w:styleId="Footer">
    <w:name w:val="footer"/>
    <w:basedOn w:val="Normal"/>
    <w:link w:val="Foot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6B"/>
  </w:style>
  <w:style w:type="paragraph" w:styleId="BalloonText">
    <w:name w:val="Balloon Text"/>
    <w:basedOn w:val="Normal"/>
    <w:link w:val="BalloonTextChar"/>
    <w:uiPriority w:val="99"/>
    <w:semiHidden/>
    <w:unhideWhenUsed/>
    <w:rsid w:val="0021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6668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5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726F36"/>
    <w:rPr>
      <w:color w:val="4A7B93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2431"/>
    <w:rPr>
      <w:rFonts w:ascii="Georgia" w:hAnsi="Georgia" w:eastAsiaTheme="majorEastAsia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431"/>
    <w:rPr>
      <w:rFonts w:ascii="Georgia" w:hAnsi="Georgia" w:eastAsiaTheme="majorEastAsia" w:cstheme="majorBidi"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431"/>
    <w:rPr>
      <w:rFonts w:ascii="Georgia" w:hAnsi="Georgia" w:eastAsiaTheme="majorEastAsia" w:cstheme="majorBidi"/>
      <w:color w:val="595959" w:themeColor="text1" w:themeTint="A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2431"/>
    <w:rPr>
      <w:rFonts w:ascii="Georgia" w:hAnsi="Georgia" w:eastAsiaTheme="majorEastAsia" w:cstheme="majorBidi"/>
      <w:iCs/>
      <w:color w:val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44560E"/>
    <w:pPr>
      <w:jc w:val="center"/>
    </w:pPr>
    <w:rPr>
      <w:b/>
      <w:color w:val="8F0824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4560E"/>
    <w:rPr>
      <w:rFonts w:ascii="Georgia" w:hAnsi="Georgia" w:cs="Arial"/>
      <w:b/>
      <w:color w:val="8F08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FB0C-1061-4B23-A0A7-D8E193DA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steveyoung640@gmail.com</cp:lastModifiedBy>
  <cp:revision>104</cp:revision>
  <cp:lastPrinted>2016-09-22T19:29:00Z</cp:lastPrinted>
  <dcterms:created xsi:type="dcterms:W3CDTF">2021-07-04T22:17:00Z</dcterms:created>
  <dcterms:modified xsi:type="dcterms:W3CDTF">2021-07-06T02:51:00Z</dcterms:modified>
</cp:coreProperties>
</file>